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12.12.2024 N 694н</w:t>
              <w:br/>
              <w:t xml:space="preserve">"Об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образования"</w:t>
              <w:br/>
              <w:t xml:space="preserve">(Зарегистрировано в Минюсте России 17.02.2025 N 81270)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февраля 2025 г. N 81270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декабря 2024 г. N 694н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</w:t>
      </w:r>
    </w:p>
    <w:p>
      <w:pPr>
        <w:pStyle w:val="2"/>
        <w:jc w:val="center"/>
      </w:pPr>
      <w:r>
        <w:rPr>
          <w:sz w:val="24"/>
        </w:rPr>
        <w:t xml:space="preserve">ЗАНЯТОСТИ НАСЕЛЕНИЯ ПО ОРГАНИЗАЦИИ ПРОФЕССИОНАЛЬНОЙ</w:t>
      </w:r>
    </w:p>
    <w:p>
      <w:pPr>
        <w:pStyle w:val="2"/>
        <w:jc w:val="center"/>
      </w:pPr>
      <w:r>
        <w:rPr>
          <w:sz w:val="24"/>
        </w:rPr>
        <w:t xml:space="preserve">ОРИЕНТАЦИИ ГРАЖДАН В ЦЕЛЯХ ВЫБОРА СФЕРЫ ПРОФЕССИОНАЛЬНОЙ</w:t>
      </w:r>
    </w:p>
    <w:p>
      <w:pPr>
        <w:pStyle w:val="2"/>
        <w:jc w:val="center"/>
      </w:pPr>
      <w:r>
        <w:rPr>
          <w:sz w:val="24"/>
        </w:rPr>
        <w:t xml:space="preserve">ДЕЯТЕЛЬНОСТИ (ПРОФЕССИИ), ТРУДОУСТРОЙСТВА, ПРОХОЖДЕНИЯ</w:t>
      </w:r>
    </w:p>
    <w:p>
      <w:pPr>
        <w:pStyle w:val="2"/>
        <w:jc w:val="center"/>
      </w:pPr>
      <w:r>
        <w:rPr>
          <w:sz w:val="24"/>
        </w:rPr>
        <w:t xml:space="preserve">ПРОФЕССИОНАЛЬНОГО ОБУЧЕНИЯ, ПОЛУЧЕНИЯ ДОПОЛНИТЕЛЬНОГО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Стандарт деятельности)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5.02.2022 N 82н &quot;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&quot; (Зарегистрировано в Минюсте России 30.03.2022 N 67983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25 февраля 2022 г. N 82н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Министерством юстиции Российской Федерации 30 марта 2022 г., регистрационный N 67983).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9" w:tooltip="е) &quot;Образовательная траектория&quot;;">
        <w:r>
          <w:rPr>
            <w:sz w:val="24"/>
            <w:color w:val="0000ff"/>
          </w:rPr>
          <w:t xml:space="preserve">подпункты "е"</w:t>
        </w:r>
      </w:hyperlink>
      <w:r>
        <w:rPr>
          <w:sz w:val="24"/>
        </w:rPr>
        <w:t xml:space="preserve"> и </w:t>
      </w:r>
      <w:hyperlink w:history="0" w:anchor="P63" w:tooltip="з) &quot;Групповые мероприятия с учащимися&quot;.">
        <w:r>
          <w:rPr>
            <w:sz w:val="24"/>
            <w:color w:val="0000ff"/>
          </w:rPr>
          <w:t xml:space="preserve">"з" пункта 3</w:t>
        </w:r>
      </w:hyperlink>
      <w:r>
        <w:rPr>
          <w:sz w:val="24"/>
        </w:rPr>
        <w:t xml:space="preserve"> Стандарта деятельности и </w:t>
      </w:r>
      <w:hyperlink w:history="0" w:anchor="P1183" w:tooltip="2.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приложения N 10 к Стандарту деятельности вступают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</w:t>
      </w:r>
    </w:p>
    <w:p>
      <w:pPr>
        <w:pStyle w:val="2"/>
        <w:jc w:val="center"/>
      </w:pPr>
      <w:r>
        <w:rPr>
          <w:sz w:val="24"/>
        </w:rPr>
        <w:t xml:space="preserve">ЗАНЯТОСТИ НАСЕЛЕНИЯ ПО ОРГАНИЗАЦИИ ПРОФЕССИОНАЛЬНОЙ</w:t>
      </w:r>
    </w:p>
    <w:p>
      <w:pPr>
        <w:pStyle w:val="2"/>
        <w:jc w:val="center"/>
      </w:pPr>
      <w:r>
        <w:rPr>
          <w:sz w:val="24"/>
        </w:rPr>
        <w:t xml:space="preserve">ОРИЕНТАЦИИ ГРАЖДАН В ЦЕЛЯХ ВЫБОРА СФЕРЫ ПРОФЕССИОНАЛЬНОЙ</w:t>
      </w:r>
    </w:p>
    <w:p>
      <w:pPr>
        <w:pStyle w:val="2"/>
        <w:jc w:val="center"/>
      </w:pPr>
      <w:r>
        <w:rPr>
          <w:sz w:val="24"/>
        </w:rPr>
        <w:t xml:space="preserve">ДЕЯТЕЛЬНОСТИ (ПРОФЕССИИ), ТРУДОУСТРОЙСТВА, ПРОХОЖДЕНИЯ</w:t>
      </w:r>
    </w:p>
    <w:p>
      <w:pPr>
        <w:pStyle w:val="2"/>
        <w:jc w:val="center"/>
      </w:pPr>
      <w:r>
        <w:rPr>
          <w:sz w:val="24"/>
        </w:rPr>
        <w:t xml:space="preserve">ПРОФЕССИОНАЛЬНОГО ОБУЧЕНИЯ, ПОЛУЧЕНИЯ ДОПОЛНИТЕЛЬНОГО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соответственно - полномочие, мера поддержки, профессиональная ориентация),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граждан, ищущих работу, безработных граждан (далее - зарегистрированный гражданин);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граждан, обратившихся за получением меры поддержки (далее - граждане, обратившиеся в центр занятости населения);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граждан, подавших заявления на организацию профессионального обучения, дополнительного профессионального образования (далее - граждане, подавшие заявление на обучение);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обучающихся общеобразовательных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Мера поддержки включает следующие сервисы: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"Самостоятельное тестирование";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"Траектория профессиональной ориентации";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"Тестирование";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"Тренинги";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"Профтур";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"е" п. 3 </w:t>
            </w:r>
            <w:hyperlink w:history="0"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9" w:name="P59"/>
    <w:bookmarkEnd w:id="5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е) "Образовательная траектория";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"Профессиональная консультация";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"з" п. 3 </w:t>
            </w:r>
            <w:hyperlink w:history="0"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3" w:name="P63"/>
    <w:bookmarkEnd w:id="6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з) "Групповые мероприятия с учащимися".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граждан и общеобразовательных организаций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Центр занятости населения при осуществлении полномочия: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учитывает официальную статистическую информацию о положении на рынке труда в Российской Федерации, на рынке труда в субъекте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учитывает потребности работодателей в замещении свободных рабочих мест и вакантных должностей;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взаимодействуют с организациями, осуществляющими образовательную деятельность, в том числе по информированию о профессиональной ориентации обучающихся общеобразовательных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Мера поддержки предоставляется: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зарегистрированному гражданину в случае, если мера поддержки включена в индивидуальный план содействия занятости, формируемый в соответствии со </w:t>
      </w:r>
      <w:hyperlink w:history="0" r:id="rId1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"О занятости населения в Российской Федерации" (далее - индивидуальный план);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гражданину, обратившемуся в центр занятости населения, на основании заявления такого гражданина о предоставлении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заявление) (рекомендуемый образец приведен в </w:t>
      </w:r>
      <w:hyperlink w:history="0" w:anchor="P263" w:tooltip="Заяв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гражданину, подавшему заявление на обучение, на основании согласия такого гражданина на получение меры поддержки, предоставленного им при подаче заявления на обучение;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обучающемуся общеобразовательной организации на основании заявки образовательной организации о предоставлении сервиса "Групповые мероприятия с учащимися" (далее - заявка образовательной организации) (рекомендуемый образец приведен в </w:t>
      </w:r>
      <w:hyperlink w:history="0" w:anchor="P443" w:tooltip="Заявк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Перечень документов и сведений, необходимых для предоставления меры поддержки: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индивидуальный план;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заявление гражданина, обратившегося в центр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согласие гражданина, подавшего заявление на обучение, на получение меры поддержки, предоставленное им при подаче заявления на обучение;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заявка образовательной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гражданине, содержащиеся на единой цифровой платформе;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действительности паспорта гражданина Российской Федерации, обратившегося в центр занятости населения, запрашиваемые центром занятости населения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об инвалидности гражданина, обратившегося в центр занятости населения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центром занятости населения из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ванная цифровая платформа в социальной сфере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Гражданин, обратившийся в центр занятости населения, вправе представить в центр занятости населения документы, подтверждающие сведения, указанные в </w:t>
      </w:r>
      <w:hyperlink w:history="0" w:anchor="P88" w:tooltip="е) сведения о действительности паспорта гражданина Российской Федерации, обратившегося в центр занятости населения, запрашиваемые центром занятости населения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">
        <w:r>
          <w:rPr>
            <w:sz w:val="24"/>
            <w:color w:val="0000ff"/>
          </w:rPr>
          <w:t xml:space="preserve">подпунктах "е"</w:t>
        </w:r>
      </w:hyperlink>
      <w:r>
        <w:rPr>
          <w:sz w:val="24"/>
        </w:rPr>
        <w:t xml:space="preserve"> и </w:t>
      </w:r>
      <w:hyperlink w:history="0" w:anchor="P89" w:tooltip="ж) сведения об инвалидности гражданина, обратившегося в центр занятости населения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центром занятости населения из государственной информационной системы &quot;Единая централизованная цифровая платформа в социальной сфере&quot; &lt;2&gt; в порядке межведомственного электронного взаимодействия с использованием единой цифровой платформы.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настоящего пункта,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Зарегистрированный гражданин обращается за получением меры поддержки путем согласования индивидуального плана или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предоставления меры поддержки центр занятости населения указывает в индивидуальном плане срок, в который зарегистрированный гражданин должен: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явиться в центр занятости населения или принять участие в беседе в дистанционной форме в режиме видеоконференции для получения сервиса "Траектория профессиональной ориентации";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обратиться за получением сервисов ("Тестирование", "Тренинги", "Профтур", "Образовательная траектория", "Профессиональная консультация"), назначенных центром занятости населения, путем явки гражданина в центр занятости населения для прохождения мероприятий или путем прохождения гражданином мероприятий в рамках назначенного сервиса в срок, предусмотренный заключением о результатах предоставления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Заявление подается гражданином, обратившимся в центр занятости населения, по собственной инициативе, в том числе после получения уведомления центра занятости населения о возможности получения меры поддержки, в форме электронного документа с использованием единой цифровой платформы в центр занятости населения независимо от места жительства или места пребывания. Гражданин вправе обратиться в центр занятости населения за содействием в подаче заявления в электронной форме.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Заявление подписывается гражданином, обратившимся в центр занятости населения, простой электронной подписью, ключ которой получен в соответствии с </w:t>
      </w:r>
      <w:hyperlink w:history="0" r:id="rId13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Заявление считается принятым центром занятости населения в день его подачи гражданином, обратившимся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заявление подано гражданином, обратившимся в центр занятости населения, в выходной или нерабочий праздничный день, днем направления заявления считается следующий за ним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принятии заявления направляется гражданину, обратившемуся в центр занятости населения, в день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w:history="0"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Заявка подается образовательной организацией в форме электронного документа с использованием единой цифровой платформы в центр занятости населения и подписывается в порядке, предусмотренном </w:t>
      </w:r>
      <w:hyperlink w:history="0" w:anchor="P99" w:tooltip="10. Заявление подписывается гражданином, обратившимся в центр занятости населения,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&quot;Об использовании простой электронной подписи при оказании государственных и муниципальных услуг&quot;, или усиленной квалифицированной электронной подписью, или усиленн..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Стандарта. Центр занятости населения принимает заявку образовательной организации в порядке, предусмотренном </w:t>
      </w:r>
      <w:hyperlink w:history="0" w:anchor="P100" w:tooltip="11. Заявление считается принятым центром занятости населения в день его подачи гражданином, обратившимся в центр занятости населения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Предоставление меры поддержки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представления гражданином, обратившимся в центр занятости населения, недостоверной информации, в том числе в случае, предусмотренном в </w:t>
      </w:r>
      <w:hyperlink w:history="0" w:anchor="P151" w:tooltip="25. При несоответствии сведений, указанных в заявлении гражданина, обратившегося в центр занятости населения, со сведениями, полученными в порядке межведомственного взаимодействия, мера поддержки прекращается.">
        <w:r>
          <w:rPr>
            <w:sz w:val="24"/>
            <w:color w:val="0000ff"/>
          </w:rPr>
          <w:t xml:space="preserve">пункте 25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отзыва заявления гражданином, обратившимся в центр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отзыва заявки образовательной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неявки гражданина в центр занятости населения (неучастие гражданина в дистанционной форме в режиме видеоконференции) для получения сервиса "Траектория профессиональной ориентации" в назначенную центром занятости населения дату и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неявки гражданина в центр занятости населения (неучастие гражданина в дистанционной форме в режиме видеоконференции) для прохождения мероприятия в дату и время, указанные в заключении о предоставлении сервиса "Траектория профессиональной ориентации", или непрохождения гражданином мероприятия в срок, предусмотренный заключением о результатах предоставления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Результатами предоставления меры поддержки являются результаты предоставления сервисов, предусмотренные </w:t>
      </w:r>
      <w:hyperlink w:history="0" w:anchor="P145" w:tooltip="23. Результатом предоставления сервиса &quot;Самостоятельное тестирование&quot; является информация о результатах самостоятельно пройденных гражданином тестов по профессиональной ориентации. Результаты указанных тестов автоматически формируются на единой цифровой платформе в день прохождения тестов.">
        <w:r>
          <w:rPr>
            <w:sz w:val="24"/>
            <w:color w:val="0000ff"/>
          </w:rPr>
          <w:t xml:space="preserve">пунктами 23</w:t>
        </w:r>
      </w:hyperlink>
      <w:r>
        <w:rPr>
          <w:sz w:val="24"/>
        </w:rPr>
        <w:t xml:space="preserve">, </w:t>
      </w:r>
      <w:hyperlink w:history="0" w:anchor="P175" w:tooltip="31. Результатом сервиса &quot;Траектория профессиональной ориентации&quot; является заключение о предоставлении сервиса &quot;Траектория профессиональной ориентаци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д&quot; пункта 30 настоящего Стандарта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, </w:t>
      </w:r>
      <w:hyperlink w:history="0" w:anchor="P185" w:tooltip="38. Результатом сервиса &quot;Тестирование&quot; является заключение о предоставлении гражданину сервиса &quot;Тестирование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37 настоящего Стандарта.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, </w:t>
      </w:r>
      <w:hyperlink w:history="0" w:anchor="P191" w:tooltip="42. Результатом сервиса &quot;Тренинги&quot; является заключение о предоставлении сервиса &quot;Тренинг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0 настоящего Стандарта.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, </w:t>
      </w:r>
      <w:hyperlink w:history="0"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sz w:val="24"/>
            <w:color w:val="0000ff"/>
          </w:rPr>
          <w:t xml:space="preserve">47</w:t>
        </w:r>
      </w:hyperlink>
      <w:r>
        <w:rPr>
          <w:sz w:val="24"/>
        </w:rPr>
        <w:t xml:space="preserve">, </w:t>
      </w:r>
      <w:hyperlink w:history="0" w:anchor="P207" w:tooltip="51. Результатом сервиса &quot;Образовательная траектория&quot; является заключение о предоставлении сервиса &quot;Образовательная траектория&quot;, включающее индивидуальный план развития компетенций гражданина, сформированное и направленное центром занятости населения гражданину с использованием единой цифровой платформы в соответствии с подпунктом &quot;д&quot; пункта 50 настоящего Стандарта.">
        <w:r>
          <w:rPr>
            <w:sz w:val="24"/>
            <w:color w:val="0000ff"/>
          </w:rPr>
          <w:t xml:space="preserve">51</w:t>
        </w:r>
      </w:hyperlink>
      <w:r>
        <w:rPr>
          <w:sz w:val="24"/>
        </w:rPr>
        <w:t xml:space="preserve">, </w:t>
      </w:r>
      <w:hyperlink w:history="0" w:anchor="P219" w:tooltip="58. Результатом сервиса &quot;Профессиональная консультация&quot; является заключение о предоставлении гражданину сервиса &quot;Профессиональная консультация&quot;, сформированное и направленное центром занятости населения гражданину в соответствии с подпунктом &quot;б&quot; пункта 57 настоящего Стандарта.">
        <w:r>
          <w:rPr>
            <w:sz w:val="24"/>
            <w:color w:val="0000ff"/>
          </w:rPr>
          <w:t xml:space="preserve">58</w:t>
        </w:r>
      </w:hyperlink>
      <w:r>
        <w:rPr>
          <w:sz w:val="24"/>
        </w:rPr>
        <w:t xml:space="preserve"> и </w:t>
      </w:r>
      <w:hyperlink w:history="0" w:anchor="P234" w:tooltip="67. Результатом сервиса &quot;Групповые мероприятия с учащимися&quot; является заключение о предоставлении сервиса &quot;Групповые мероприятия с учащимися&quot; (рекомендуемый образец приведен в приложении N 9 к настоящему Стандарту), сформированное центром занятости населения с использованием единой цифровой платформы в срок не позднее 2 рабочих дней со дня предоставления сервиса. Указанное заключение направляется с использованием единой цифровой платформы в общеобразовательную организацию в день его формирования.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&lt;3&gt;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5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необращение зарегистрированным гражданином в центр занятости населения в срок, предусмотренный индивидуальным планом, для получения сервисов, назначенных центром занятости населения ("Тестирование", "Тренинги", "Профтур", "Образовательная траектория", "Профессиональная консультация");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невыполнение зарегистрированным гражданином обязанностей, предусмотренных настоящим Стандартом,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явиться в центр занятости населения (принять участие в дистанционной форме в режиме видеоконференции) для получения сервиса "Траектория профессиональной ориентации" в назначенную центром занятости населения дату и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явиться в центр занятости населения для прохождения мероприятия в дату и время, указанные в заключении о предоставлении сервиса "Траектория профессиональной ориентации", или пройти мероприятия в срок, предусмотренный заключением о результатах предоставления сервиса "Траектория профессиональной ориентации";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неполучение зарегистрированным гражданином результатов сервисов, предусмотренных </w:t>
      </w:r>
      <w:hyperlink w:history="0" w:anchor="P175" w:tooltip="31. Результатом сервиса &quot;Траектория профессиональной ориентации&quot; является заключение о предоставлении сервиса &quot;Траектория профессиональной ориентаци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д&quot; пункта 30 настоящего Стандарта.">
        <w:r>
          <w:rPr>
            <w:sz w:val="24"/>
            <w:color w:val="0000ff"/>
          </w:rPr>
          <w:t xml:space="preserve">пунктами 31</w:t>
        </w:r>
      </w:hyperlink>
      <w:r>
        <w:rPr>
          <w:sz w:val="24"/>
        </w:rPr>
        <w:t xml:space="preserve">, </w:t>
      </w:r>
      <w:hyperlink w:history="0" w:anchor="P185" w:tooltip="38. Результатом сервиса &quot;Тестирование&quot; является заключение о предоставлении гражданину сервиса &quot;Тестирование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37 настоящего Стандарта.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, </w:t>
      </w:r>
      <w:hyperlink w:history="0" w:anchor="P191" w:tooltip="42. Результатом сервиса &quot;Тренинги&quot; является заключение о предоставлении сервиса &quot;Тренинг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0 настоящего Стандарта.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, </w:t>
      </w:r>
      <w:hyperlink w:history="0"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sz w:val="24"/>
            <w:color w:val="0000ff"/>
          </w:rPr>
          <w:t xml:space="preserve">47</w:t>
        </w:r>
      </w:hyperlink>
      <w:r>
        <w:rPr>
          <w:sz w:val="24"/>
        </w:rPr>
        <w:t xml:space="preserve">, </w:t>
      </w:r>
      <w:hyperlink w:history="0" w:anchor="P207" w:tooltip="51. Результатом сервиса &quot;Образовательная траектория&quot; является заключение о предоставлении сервиса &quot;Образовательная траектория&quot;, включающее индивидуальный план развития компетенций гражданина, сформированное и направленное центром занятости населения гражданину с использованием единой цифровой платформы в соответствии с подпунктом &quot;д&quot; пункта 50 настоящего Стандарта.">
        <w:r>
          <w:rPr>
            <w:sz w:val="24"/>
            <w:color w:val="0000ff"/>
          </w:rPr>
          <w:t xml:space="preserve">51</w:t>
        </w:r>
      </w:hyperlink>
      <w:r>
        <w:rPr>
          <w:sz w:val="24"/>
        </w:rPr>
        <w:t xml:space="preserve"> и </w:t>
      </w:r>
      <w:hyperlink w:history="0" w:anchor="P219" w:tooltip="58. Результатом сервиса &quot;Профессиональная консультация&quot; является заключение о предоставлении гражданину сервиса &quot;Профессиональная консультация&quot;, сформированное и направленное центром занятости населения гражданину в соответствии с подпунктом &quot;б&quot; пункта 57 настоящего Стандарта.">
        <w:r>
          <w:rPr>
            <w:sz w:val="24"/>
            <w:color w:val="0000ff"/>
          </w:rPr>
          <w:t xml:space="preserve">58</w:t>
        </w:r>
      </w:hyperlink>
      <w:r>
        <w:rPr>
          <w:sz w:val="24"/>
        </w:rP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и предоставления сервисов</w:t>
      </w:r>
    </w:p>
    <w:p>
      <w:pPr>
        <w:pStyle w:val="2"/>
        <w:jc w:val="center"/>
      </w:pPr>
      <w:r>
        <w:rPr>
          <w:sz w:val="24"/>
        </w:rPr>
        <w:t xml:space="preserve">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При осуществлении полномочия выполняются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предоставление сервиса "Самостоятельное тестирование";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формирование и направление уведомления гражданину, прошедшему сервис "Самостоятельное тестирование" и не состоящему на регистрационном учете в центре занятости населения, о возможности получения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прием заявления гражданина, обратившегося в центр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сервисов "Траектория профессиональной ориентации", "Тестирование", "Тренинги", "Профтур", "Образовательная траектория", "Профессиональная консультация", "Групповые мероприятия с учащимися".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Сервисы предоставляются в соответствии с технологическими картами исполнения настоящего Стандарта, разработанными Министерством труда и социальной защиты Российской Федерации (далее - технологические карты).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для предоставления сервисов (мероприятий) центр занятости населения привлекает специалиста или организацию на договорной основе, информация об этом, включая сведения о реквизитах соответствующего договора, центр занятости населения вносит на единую цифровую платформу.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Сервис "Самостоятельное тестирование"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 Сервис "Самостоятельное тестирование" доступен на единой цифровой платформе ежедневно в круглосуточном режиме и реализуется в режиме реального времени.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Сервис "Самостоятельное тестирование" обеспечивает следующие функциональные возможности для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самостоятельно выбрать и пройти тестирование по профессиональной ориентации на единой цифровой платформе в разделе "Профессиональная ориентация", в том числе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выявление индивидуально-психологических особенностей;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выбор профессии;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выявление предрасположенности к определенной профессии;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компетенций;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меры поддержки.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Результатом предоставления сервиса "Самостоятельное тестирование" является информация о результатах самостоятельно пройденных гражданином тестов по профессиональной ориентации. Результаты указанных тестов автоматически формируются на единой цифровой платформе в день прохождения тестов.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день окончания прохождения гражданином, не состоящим на регистрационном учете в центре занятости населения, тестирования ему автоматически с использованием единой цифровой платформы направляется уведомление о возможности обратиться в центр занятости населения за получением меры поддержки путем подачи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день принятия заявления гражданина, обратившегося в центр занятости населения, центр занятости населения запрашивает с использованием единой цифровой платформы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6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bookmarkStart w:id="151" w:name="P151"/>
    <w:bookmarkEnd w:id="151"/>
    <w:p>
      <w:pPr>
        <w:pStyle w:val="0"/>
        <w:ind w:firstLine="540"/>
        <w:jc w:val="both"/>
      </w:pPr>
      <w:r>
        <w:rPr>
          <w:sz w:val="24"/>
        </w:rPr>
        <w:t xml:space="preserve">25. При несоответствии сведений, указанных в заявлении гражданина, обратившегося в центр занятости населения, со сведениями, полученными в порядке межведомственного взаимодействия, мера поддержки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Сервис "Траектория профессиональной ориентации" предоставляется в виде беседы с гражданином для определения цели профессиональной ориентации, оценки знаний гражданина о профессиях, сферах деятельности, личных особенностей гражданина, уточнения информации о ключевых навыках и профессиональных компетенциях гражданина, выяснения иной информации, необходимой для предоставления меры поддержки.</w:t>
      </w:r>
    </w:p>
    <w:bookmarkStart w:id="154" w:name="P154"/>
    <w:bookmarkEnd w:id="1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Основанием для начала предоставления сервиса "Траектория профессиональной ориентации"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согласование зарегистрированным гражданином индивидуального плана или изменений индивидуального плана;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принятие центром занятости населения заявления гражданина, обратившегося в центр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центром занятости населения заявления на обучение, содержащее согласие гражданина на получение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наступление срока, указанного центром занятости населения, в индивидуальном плане гражданина для явки в центр занятости населения или принятия участия в беседе в дистанционной форме в режиме видеоконференции в рамках сервиса "Траектория профессиональной ориентации" при предоставлении гражданину меры государственной поддержки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Центр занятости населения в срок не позднее одного рабочего дня со дня начала предоставления гражданину сервиса "Траектория профессиональной ориентации" в соответствии с </w:t>
      </w:r>
      <w:hyperlink w:history="0" w:anchor="P154" w:tooltip="27. Основанием для начала предоставления сервиса &quot;Траектория профессиональной ориентации&quot; являе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Стандарта: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содержащихся на единой цифровой платформе, в том числе о результатах получения гражданином сервиса "Самостоятельное тестирование", предусмотренного </w:t>
      </w:r>
      <w:hyperlink w:history="0" w:anchor="P137" w:tooltip="21. Сервис &quot;Самостоятельное тестирование&quot;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 Сервис &quot;Самостоятельное тестирование&quot; доступен на единой цифровой платформе ежедневно в круглосуточном режиме и реализуется в режиме реального времени.">
        <w:r>
          <w:rPr>
            <w:sz w:val="24"/>
            <w:color w:val="0000ff"/>
          </w:rPr>
          <w:t xml:space="preserve">пунктами 21</w:t>
        </w:r>
      </w:hyperlink>
      <w:r>
        <w:rPr>
          <w:sz w:val="24"/>
        </w:rPr>
        <w:t xml:space="preserve"> - </w:t>
      </w:r>
      <w:hyperlink w:history="0" w:anchor="P145" w:tooltip="23. Результатом предоставления сервиса &quot;Самостоятельное тестирование&quot; является информация о результатах самостоятельно пройденных гражданином тестов по профессиональной ориентации. Результаты указанных тестов автоматически формируются на единой цифровой платформе в день прохождения тестов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Стандарта, определяет форму проведения беседы;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назначает с использованием единой цифровой платформы дату, время и форму проведения беседы (очно при личном посещении гражданина центра занятости населения или в дистанционном формате в режиме видеоконференции).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зарегистрированным гражданином, в индивидуальный план которого включена мера государственной поддержки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обучение в другой местности, гражданином, подавшим заявление на обучение, беседа проводится при необходимости по номеру телефона, указанному гражданином в заявлении на обучение, для уточнения сведений о гражданине, необходимых для предоставления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направляет гражданину с использованием единой цифровой платформы уведомление, содержащее информацию о дате, времени и форме проведения беседы.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у гражданина технической возможности участвовать в беседе в дистанционной форме в режиме видеоконференции, гражданин может явиться в центр занятости населения на беседу в назначенные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неявки гражданина в центр занятости населения (неучастия гражданина в дистанционной форме в режиме видеоконференции) для получения сервиса "Траектория профессиональной ориентации" в назначенные центром занятости населения дату и время, центр занятости населения фиксирует на единой цифровой платформе сведения о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Центр занятости населения не позднее 1 рабочего дня со дня проведения с гражданином беседы: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фиксирует результаты беседы с гражданином на единой цифровой платформе и принимает решение о необходимости или отсутствии необходимости назначения гражданину сервисов из числа сервисов, предусмотренных в </w:t>
      </w:r>
      <w:hyperlink w:history="0" w:anchor="P54" w:tooltip="в) &quot;Тестирование&quot;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</w:t>
      </w:r>
      <w:hyperlink w:history="0" w:anchor="P60" w:tooltip="ж) &quot;Профессиональная консультация&quot;;">
        <w:r>
          <w:rPr>
            <w:sz w:val="24"/>
            <w:color w:val="0000ff"/>
          </w:rPr>
          <w:t xml:space="preserve">"ж" пункта 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невозможности провести беседу по телефону с зарегистрированным гражданином, в индивидуальный план которого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гражданином, подавшим заявление на обучение, центр занятости населения принимает решение о необходимости или отсутствии необходимости назначения гражданину сервисов на основании информации о гражданине, содержащейся на единой цифровой платформе;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назначает гражданину сервисы из числа сервисов, предусмотренных в </w:t>
      </w:r>
      <w:hyperlink w:history="0" w:anchor="P54" w:tooltip="в) &quot;Тестирование&quot;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</w:t>
      </w:r>
      <w:hyperlink w:history="0" w:anchor="P60" w:tooltip="ж) &quot;Профессиональная консультация&quot;;">
        <w:r>
          <w:rPr>
            <w:sz w:val="24"/>
            <w:color w:val="0000ff"/>
          </w:rPr>
          <w:t xml:space="preserve">"ж" пункта 3</w:t>
        </w:r>
      </w:hyperlink>
      <w:r>
        <w:rPr>
          <w:sz w:val="24"/>
        </w:rPr>
        <w:t xml:space="preserve"> настоящего Стандарта, а также мероприятия в рамках сервисов.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Зарегистрированным гражданам, в индивидуальный план которых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и гражданам, подавшим заявление на обучение, могут назначаться сервисы, предусмотренные </w:t>
      </w:r>
      <w:hyperlink w:history="0" w:anchor="P54" w:tooltip="в) &quot;Тестирование&quot;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и </w:t>
      </w:r>
      <w:hyperlink w:history="0" w:anchor="P59" w:tooltip="е) &quot;Образовательная траектория&quot;;">
        <w:r>
          <w:rPr>
            <w:sz w:val="24"/>
            <w:color w:val="0000ff"/>
          </w:rPr>
          <w:t xml:space="preserve">"е" пункта 3</w:t>
        </w:r>
      </w:hyperlink>
      <w:r>
        <w:rPr>
          <w:sz w:val="24"/>
        </w:rPr>
        <w:t xml:space="preserve"> настоящего Стандарта, сервис, предусмотренный </w:t>
      </w:r>
      <w:hyperlink w:history="0" w:anchor="P60" w:tooltip="ж) &quot;Профессиональная консультация&quot;;">
        <w:r>
          <w:rPr>
            <w:sz w:val="24"/>
            <w:color w:val="0000ff"/>
          </w:rPr>
          <w:t xml:space="preserve">подпунктом "ж" пункта 3</w:t>
        </w:r>
      </w:hyperlink>
      <w:r>
        <w:rPr>
          <w:sz w:val="24"/>
        </w:rPr>
        <w:t xml:space="preserve"> настоящего Стандарта назначается в обязательном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фиксирует на единой цифровой платформе перечень назначенных гражданину сервисов и сроки их предоставления. При назначении гражданину сервиса "Профессиональная консультация" указанный сервис предоставляется последним;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вносит в индивидуальный план зарегистрированного гражданина информацию о сроках предоставления гражданину назначенных сервисов;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формирует и направляет гражданину заключение о предоставлении гражданину сервиса "Траектория профессиональной ориентации" (рекомендуемый образец приведен в </w:t>
      </w:r>
      <w:hyperlink w:history="0" w:anchor="P492" w:tooltip="Заключен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Стандарту), содержащее информацию о сервисах, назначенных гражданину, и мероприятиях, назначенных гражданину в рамках сервисов,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дня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предоставления сервисов могут проводиться тренинги, тестирование, индивидуальные и групповые консультации, вебинары, лекции, экскурсии и другие мероприятия.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Результатом сервиса "Траектория профессиональной ориентации" является заключение о предоставлении сервиса "Траектория профессиональной ориентации",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73" w:tooltip="д) формирует и направляет гражданину заключение о предоставлении гражданину сервиса &quot;Траектория профессиональной ориентации&quot; (рекомендуемый образец приведен в приложении N 3 к настоящему Стандарту), содержащее информацию о сервисах, назначенных гражданину, и мероприятиях, назначенных гражданину в рамках сервисов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...">
        <w:r>
          <w:rPr>
            <w:sz w:val="24"/>
            <w:color w:val="0000ff"/>
          </w:rPr>
          <w:t xml:space="preserve">подпунктом "д" пункта 30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Основанием для начала предоставления сервиса "Тестирование" является наступление срока предоставления сервиса, указанного в заключении о предоставлении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наступления срока предоставления сервиса "Тестирование".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(для гражданина, подавшего заявление на обучение, не позднее 3 рабочих дней) со дня наступления срока предоставления сервиса "Тестирование".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непрохождения гражданином тестов с использованием единой цифровой платформы в течение 3 календарных дней со дня наступления срока предоставления сервиса "Тестирование"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(для гражданина, подавшего заявление на обучение, не позднее 3 рабочих дней) со дня наступления срока предоставления сервиса "Тестирование",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Центр занятости населения в день прохождения гражданином тестов: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анализирует результаты тестов. При невозможности проведения анализа результатов тестов в день прохождения их гражданином,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и направляет гражданину заключение о предоставлении гражданину сервиса "Тестирование" (рекомендуемый образец приведен в </w:t>
      </w:r>
      <w:hyperlink w:history="0" w:anchor="P667" w:tooltip="Заключение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настоящему Стандарту).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Результатом сервиса "Тестирование" является заключение о предоставлении гражданину сервиса "Тестирование",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84" w:tooltip="б) формирует и направляет гражданину заключение о предоставлении гражданину сервиса &quot;Тестирование&quot; (рекомендуемый образец приведен в приложении N 4 к настоящему Стандарту).">
        <w:r>
          <w:rPr>
            <w:sz w:val="24"/>
            <w:color w:val="0000ff"/>
          </w:rPr>
          <w:t xml:space="preserve">подпунктом "б" пункта 37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Основанием для начала предоставления сервиса "Тренинги" является наступление срока предоставления сервиса, указанного в заключении о предоставлении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день проведения тренинга анализирует результаты тренинга. При невозможности проведения анализа результатов тренинга в день его проведения такой анализ проводится центром занятости населения не позднее 2 рабочих дней (включая взаимодействие с привлеченным специалистом) со дня проведения тренинга;</w:t>
      </w:r>
    </w:p>
    <w:bookmarkStart w:id="189" w:name="P189"/>
    <w:bookmarkEnd w:id="1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срок не позднее 3 рабочих дней со дня завершения последнего тренинга формирует и направляет гражданину заключение о предоставлении гражданину сервиса "Тренинги" (рекомендуемый образец приведен в </w:t>
      </w:r>
      <w:hyperlink w:history="0" w:anchor="P747" w:tooltip="Заключение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настоящему Стандарту).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случае неявки гражданина в центр занятости населения на тренинг или неучастия гражданина в тренинге в дистанционной форме в режиме видеоконференции в назначенные центром занятости населения дату и время, центр занятости населения фиксирует на единой цифровой платформе сведения о неявке (неучастии) гражданина в тренинге,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Результатом сервиса "Тренинги" является заключение о предоставлении сервиса "Тренинги",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89" w:tooltip="б) в срок не позднее 3 рабочих дней со дня завершения последнего тренинга формирует и направляет гражданину заключение о предоставлении гражданину сервиса &quot;Тренинги&quot; (рекомендуемый образец приведен в приложении N 5 к настоящему Стандарту).">
        <w:r>
          <w:rPr>
            <w:sz w:val="24"/>
            <w:color w:val="0000ff"/>
          </w:rPr>
          <w:t xml:space="preserve">подпунктом "б" пункта 40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Сервис "Профтур" представляет собой экскурсию к работодателю с целью ознакомления гражданина с работой предприятий (организаций) и представителей отдельных профессий (сфер деятельности).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Основанием для начала предоставления сервиса "Профтур" является наступление срока предоставления сервиса, указанного в заключении о предоставлении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Центр занятости населения не позднее 1 рабочего дня со дня проведения экскурсии связывается с работодателем, у которого проводилась экскурсия, по телефону или с использованием электронной связи, в том числе через информационно-коммуникационную сеть "Интернет", с целью подтверждения явки гражданина на экскурсию.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неявки гражданина на экскурсию центр занятости населения фиксирует на единой цифровой платформе сведения о неявке гражданина,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bookmarkStart w:id="196" w:name="P196"/>
    <w:bookmarkEnd w:id="1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"Профтур" (рекомендуемый образец приведен в </w:t>
      </w:r>
      <w:hyperlink w:history="0" w:anchor="P827" w:tooltip="Заключение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настоящему Стандарту).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Результатом сервиса "Профтур" является заключение о предоставлении гражданину сервиса "Профтур",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Сервис "Образовательная траектория" представляет собой беседу с целью определения уровня развития имеющихся компетенций или необходимости получения дополнительных компетенций для конкретной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Основанием для начала предоставления сервиса "Образовательная траектория" является наступление срока предоставления сервиса, указанного в заключении о предоставлении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Гражданину, подавшему заявление на обучение, сервис "Образовательная траектория" (в случае его назначения) должен быть предоставлен в срок не позднее 3 рабочих дней со дня принятия центром занятости населения заявления гражданина на обучение.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Центр занятости населения в день явки гражданина: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беседу с гражданином с целью уточнения желаемой профессии, сферы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предварительный профиль компетенций гражданина по результатам проведенной беседы;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определяет способы оценки компетенций гражданина в соответствии с технологической картой и обеспечивает гражданину возможность прохождения такой оценки;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формирует фактический профиль компетенций гражданина и индивидуальный план развития компетенций гражданина;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формирует и направляет гражданину заключение о предоставлении гражданину сервиса "Образовательная траектория" (рекомендуемый образец приведен в </w:t>
      </w:r>
      <w:hyperlink w:history="0" w:anchor="P907" w:tooltip="Заключение">
        <w:r>
          <w:rPr>
            <w:sz w:val="24"/>
            <w:color w:val="0000ff"/>
          </w:rPr>
          <w:t xml:space="preserve">приложении N 7</w:t>
        </w:r>
      </w:hyperlink>
      <w:r>
        <w:rPr>
          <w:sz w:val="24"/>
        </w:rPr>
        <w:t xml:space="preserve"> к настоящему Стандарту).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Результатом сервиса "Образовательная траектория" является заключение о предоставлении сервиса "Образовательная траектория", включающее индивидуальный план развития компетенций гражданина,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206" w:tooltip="д) формирует и направляет гражданину заключение о предоставлении гражданину сервиса &quot;Образовательная траектория&quot; (рекомендуемый образец приведен в приложении N 7 к настоящему Стандарту).">
        <w:r>
          <w:rPr>
            <w:sz w:val="24"/>
            <w:color w:val="0000ff"/>
          </w:rPr>
          <w:t xml:space="preserve">подпунктом "д" пункта 50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В случае неявки гражданина в центр занятости населения для получения сервиса "Образовательная траектория" в назначенные центром занятости населения дату и время центр занятости населения фиксирует на единой цифровой платформе сведения о неявке гражданина,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Сервис "Профессиональная консультация" предоставляется в виде беседы с гражданином с целью анализа результатов предоставленных ранее сервисов, оценки осведомленности гражданина о профессии, сфере деятельности, в которой он хочет осуществлять профессиональную деятельность, проведения дополнительного информирования об этой профессии, сфере деятельности (при необходимости), выдачи рекомендаций по самостоятельному изучению информации об интересующей гражданина профессии, сфере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 "Профессиональная консультация" для зарегистрированного гражданина, в индивидуальный план которого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или гражданина, подавшего заявление на обучение, представляет собой беседу с целью оценки осознанности выбора гражданином профессии, специальности для обучения с учетом возможности его трудоустройства, соответствия индивидуально-психологическим особенностям, ценностным ориентациям в карьере и формирования рекомендаций об обоснованности выбранной профессии, специальности или о смене выбранной профессии, специальности для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Основанием для начала предоставления гражданину сервиса "Профессиональная консультация" является наступление срока предоставления сервиса, указанного в заключении о предоставлении гражданину сервиса "Траектория профессиональной ориентации".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Профессиональная консультация для гражданина, подавшего заявление на обучение, должна быть проведена не позднее 3 рабочих дней со дня принятия центром занятости населения заявления гражданина на обучение.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Профессиональная консультация может проводиться в дистанционной форме в режиме видеоконференции либо при личной явке гражданина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у гражданина технической возможности участвовать в беседе в дистанционной форме в режиме видеоконференции, гражданин может явиться в центр занятости населения на беседу в назначенные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В случае неявки гражданина в центр занятости населения на профессиональную консультацию или неучастия гражданина в профессиональной консультации в дистанционной форме в режиме видеоконференции в назначенные центром занятости населения дату и время, центр занятости населения фиксирует на единой цифровой платформе сведения о неявке (неучастии) гражданина,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Центр занятости населения не позднее 1 рабочего дня со дня проведения с гражданином профессиональной консультации: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фиксирует результаты профессиональной консультации на единой цифровой платформе;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и направляет гражданину заключение о предоставлении гражданину сервиса "Профессиональная консультация" (рекомендуемый образец приведен в </w:t>
      </w:r>
      <w:hyperlink w:history="0" w:anchor="P991" w:tooltip="Заключение">
        <w:r>
          <w:rPr>
            <w:sz w:val="24"/>
            <w:color w:val="0000ff"/>
          </w:rPr>
          <w:t xml:space="preserve">приложении N 8</w:t>
        </w:r>
      </w:hyperlink>
      <w:r>
        <w:rPr>
          <w:sz w:val="24"/>
        </w:rPr>
        <w:t xml:space="preserve"> к настоящему Стандарту).</w:t>
      </w:r>
    </w:p>
    <w:bookmarkStart w:id="219" w:name="P219"/>
    <w:bookmarkEnd w:id="2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Результатом сервиса "Профессиональная консультация" является заключение о предоставлении гражданину сервиса "Профессиональная консультация", сформированное и направленное центром занятости населения гражданину в соответствии с </w:t>
      </w:r>
      <w:hyperlink w:history="0" w:anchor="P218" w:tooltip="б) формирует и направляет гражданину заключение о предоставлении гражданину сервиса &quot;Профессиональная консультация&quot; (рекомендуемый образец приведен в приложении N 8 к настоящему Стандарту).">
        <w:r>
          <w:rPr>
            <w:sz w:val="24"/>
            <w:color w:val="0000ff"/>
          </w:rPr>
          <w:t xml:space="preserve">подпунктом "б" пункта 57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Центр занятости населения не позднее 2 недель со дня направления зарегистрированному гражданину, в индивидуальный план которого не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заключения по предоставлению последнего сервиса, назначенного в рамках меры поддержки, направляет в отношении такого гражданина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Сервис "Групповые мероприятия с учащимися" предоставляется в целях обеспечения реализации профессиональной ориентации среди обучающихся общеобразовательных организаций. Указанный сервис может предоставляться обучающимся в общеобразовательной организации, в центрах занятости населения или в иных организациях, привлеченных центром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Основанием для начала предоставления сервиса "Групповые мероприятия с учащимися" является день принятия центром занятости населения заявки 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Центр занятости населения в срок не позднее 5 рабочих дней со дня принятия заявки образовательной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определяет возможность предоставления сервиса в соответствии с заявкой образовательной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предложения по предоставлению сервиса;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направляет общеобразовательной организации с использованием единой цифровой платформы сформированные предложения по предоставлению сервиса.</w:t>
      </w:r>
    </w:p>
    <w:bookmarkStart w:id="227" w:name="P227"/>
    <w:bookmarkEnd w:id="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Общеобразовательная организация в срок не позднее 2 рабочих дней со дня получения предложений центра занятости населения по предоставлению сервиса: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предложений центра занятости населения и принимает решение о согласовании предложений или необходимости их корректировки;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центру занятости населения с использованием единой цифровой платформы уведомление, содержащее информацию о согласовании предложений или о несогласовании предложений с указанием причин и необходимости корректировки предложений.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В случае необходимости корректировки предложений центра занятости населения по предоставлению сервиса центр занятости населения в срок не позднее 3 рабочих дней со дня получения уведомления общеобразовательной организации вносит корректировки в предложения о предоставлении сервиса и направляет учебному заведению с использованием единой цифровой платформы скорректированные предложения.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Общеобразовательная организация осуществляет согласование скорректированных предложений центра занятости населения в порядке, предусмотренном </w:t>
      </w:r>
      <w:hyperlink w:history="0" w:anchor="P227" w:tooltip="63. Общеобразовательная организация в срок не позднее 2 рабочих дней со дня получения предложений центра занятости населения по предоставлению сервиса:">
        <w:r>
          <w:rPr>
            <w:sz w:val="24"/>
            <w:color w:val="0000ff"/>
          </w:rPr>
          <w:t xml:space="preserve">пунктом 63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Предоставление сервиса "Групповые мероприятия с учащимися" осуществляется в сроки и порядке, согласованные в предложениях по предоставлению сервиса.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Центр занятости населения с использованием единой цифровой платформы фиксирует информацию о результатах предоставления сервиса "Групповые мероприятия с учащимися" в срок не позднее 2 рабочих дней со дня предоставления сервиса.</w:t>
      </w:r>
    </w:p>
    <w:bookmarkStart w:id="234" w:name="P234"/>
    <w:bookmarkEnd w:id="2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Результатом сервиса "Групповые мероприятия с учащимися" является заключение о предоставлении сервиса "Групповые мероприятия с учащимися" (рекомендуемый образец приведен в </w:t>
      </w:r>
      <w:hyperlink w:history="0" w:anchor="P1080" w:tooltip="Заключение">
        <w:r>
          <w:rPr>
            <w:sz w:val="24"/>
            <w:color w:val="0000ff"/>
          </w:rPr>
          <w:t xml:space="preserve">приложении N 9</w:t>
        </w:r>
      </w:hyperlink>
      <w:r>
        <w:rPr>
          <w:sz w:val="24"/>
        </w:rPr>
        <w:t xml:space="preserve"> к настоящему Стандарту), сформированное центром занятости населения с использованием единой цифровой платформы в срок не позднее 2 рабочих дней со дня предоставления сервиса. Указанное заключение направляется с использованием единой цифровой платформы в общеобразовательную организацию в день его формирования.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68. Показатели исполнения настоящего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образования, сведения, необходимые для оценки (расчета) показателей, методика оценки (расчета) показателей предусмотрены в </w:t>
      </w:r>
      <w:hyperlink w:history="0" w:anchor="P1152" w:tooltip="Показатели">
        <w:r>
          <w:rPr>
            <w:sz w:val="24"/>
            <w:color w:val="0000ff"/>
          </w:rPr>
          <w:t xml:space="preserve">приложении N 10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Сбор информации по исполнению полномочия для формирования отчета производится ежемесячно. Ежемесячные сведения в дальнейшем используются при подготовке полугодовых и годовых отчетов.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Сведения, необходимые для расчета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263" w:name="P263"/>
          <w:bookmarkEnd w:id="263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2"/>
        <w:gridCol w:w="5044"/>
      </w:tblGrid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266" w:name="P266"/>
          <w:bookmarkEnd w:id="266"/>
          <w:p>
            <w:pPr>
              <w:pStyle w:val="0"/>
            </w:pPr>
            <w:r>
              <w:rPr>
                <w:sz w:val="24"/>
              </w:rPr>
              <w:t xml:space="preserve">1. Фамилия, имя, отчество (при наличии) 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2. Пол 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3. Дата рождения 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4. Гражданство 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5. ИНН </w:t>
            </w:r>
            <w:hyperlink w:history="0" w:anchor="P419" w:tooltip="&lt;5&gt; Идентификационный номер налогоплательщика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6. СНИЛС </w:t>
            </w:r>
            <w:hyperlink w:history="0" w:anchor="P420" w:tooltip="&lt;6&gt; Страховой номер индивидуального лицевого счета.">
              <w:r>
                <w:rPr>
                  <w:sz w:val="24"/>
                  <w:color w:val="0000ff"/>
                </w:rPr>
                <w:t xml:space="preserve">&lt;6&gt;</w:t>
              </w:r>
            </w:hyperlink>
            <w:r>
              <w:rPr>
                <w:sz w:val="24"/>
              </w:rPr>
              <w:t xml:space="preserve"> 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7. Серия, номер паспорта 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8. Дата выдачи паспорта ____________________________________________________</w:t>
            </w:r>
          </w:p>
          <w:bookmarkStart w:id="274" w:name="P274"/>
          <w:bookmarkEnd w:id="274"/>
          <w:p>
            <w:pPr>
              <w:pStyle w:val="0"/>
            </w:pPr>
            <w:r>
              <w:rPr>
                <w:sz w:val="24"/>
              </w:rPr>
              <w:t xml:space="preserve">9. Кем выдан паспорт 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10. Адрес (выбрать значение):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места жительства (пребывания)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места фактического проживания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10.1. Субъект Российской Федерации 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10.2. Район, населенный пункт 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10.3. Улица 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10.4. Дом, корпус, строение 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10.5. Квартира 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11. Контактная информация: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11.1. Номер телефона 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11.2. Адрес электронной почты (при наличии) 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12. Место предоставления меры поддержки: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12.1. Субъект Российской Федерации 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12.2. Центр занятости населения 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13. Сведения об образовании: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13.1. Образование 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13.2. Ученая степень (при наличии) 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13.3. Учебное заведение 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13.4. Факультет 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13.5. Год окончания обучения 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13.6. Квалификация по диплому 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13.7. Специальность по диплому 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13.8. Серия диплома 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13.9. Номер диплома 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13.10. Дата выдачи диплома 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14. Социальный статус:</w:t>
            </w:r>
          </w:p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предпенсионер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инвалид (выбрать значение)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I группы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II группы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III группы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ребенок-сирота, ребенок, оставшийся без попечения родителей, лицо из числа детей-сирот, детей, оставшихся без попечения родителей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освобожден из учреждения, исполняющего наказание в виде лишения свободы, и ищу работу не более одного года с даты освобождения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одинокий или многодетный родитель (опекун, попечитель), воспитывающий несовершеннолетних детей, детей-инвалидов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15. Желаемые условия трудоустройства (при наличии понимания):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15.1. Профессия (должность, специальность) 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15.2. Сфера деятельности (специализация) 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15.3. Форма занятости: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15.3.1. График работы (выбрать значения):</w:t>
            </w:r>
          </w:p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полный рабочий день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сменная работа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85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только дневная смена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85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только ночная смена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85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 графику сменности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режим гибкого рабочего времени _____________________________________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вахтовый метод ____________________________________________________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неполный рабочий день (неполная рабочая неделя)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любой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15.3.2. Тип занятости (выбрать значения):</w:t>
            </w:r>
          </w:p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временная работа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стажировка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сезонная работа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дистанционная (удаленная) работа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15.4. Размер заработной платы: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15.4.1. От ________ рублей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15.4.2. До ________ рублей</w:t>
            </w:r>
          </w:p>
          <w:p>
            <w:pPr>
              <w:pStyle w:val="0"/>
            </w:pPr>
            <w:r>
              <w:rPr>
                <w:sz w:val="24"/>
              </w:rPr>
              <w:t xml:space="preserve">16. Сведения о предыдущей работе:</w:t>
            </w:r>
          </w:p>
        </w:tc>
      </w:tr>
      <w:tr>
        <w:tc>
          <w:tcPr>
            <w:tcW w:w="402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16.1. Наименование работодателя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 организации или фамилия, имя отчество (при наличии) индивидуального предпринимателя, иного физического лица)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пребывал в добровольческом формировании в связи с заключением контракта, предусмотренном Федеральным </w:t>
            </w:r>
            <w:hyperlink w:history="0" r:id="rId18" w:tooltip="Федеральный закон от 31.05.1996 N 61-ФЗ (ред. от 26.12.2024) &quot;Об обороне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31 мая 1996 г. N 61-ФЗ "Об обороне"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16.2. Наименование торговой марки (бренда) 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16.3. Профессия (должность, специальность) 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16.4. Сфера деятельности (специализация) 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16.5. Должностные обязанности 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16.6. Личностные качества 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16.7. Знания 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16.8. Навыки, умения 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16.9. Используемые инструменты, оборудование 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16.10. Период работы: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16.10.1. Начало _______________________________________________________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16.10.2. Окончание 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17. Сведения об иных профессиях (при наличии):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18. Сведения об иной занятости (при наличии):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18.1. Предпринимательская деятельность в сфере 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18.1.1.</w:t>
            </w:r>
          </w:p>
          <w:p>
            <w:pPr>
              <w:pStyle w:val="0"/>
            </w:pPr>
            <w:r>
              <w:rPr>
                <w:sz w:val="24"/>
              </w:rPr>
              <w:t xml:space="preserve">Начало 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18.1.2. Окончание 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18.2. Деятельность в качестве плательщика налога на профессиональный доход</w:t>
            </w:r>
          </w:p>
          <w:p>
            <w:pPr>
              <w:pStyle w:val="0"/>
              <w:ind w:firstLine="850"/>
              <w:jc w:val="both"/>
            </w:pPr>
            <w:r>
              <w:rPr>
                <w:sz w:val="24"/>
              </w:rPr>
              <w:t xml:space="preserve">в сфере ________________________________________________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18.2.1. Начало ____________________________________________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18.2.2. Окончание 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18.3. Прочая занятость 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18.3.1. Начало ____________________________________________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18.3.2. Окончание 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19. Достижения 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20. Сведения о повышении квалификации (курсы, дополнительное образование):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20.1. Название курса 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20.2. Наименование образовательной организации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20.3. Год окончания 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21. Сведения о независимой оценке квалификации: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21.1. Регистрационный номер свидетельства 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21.2. Дата выдачи свидетельства 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22. Знание иностранных языков: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22.1. Название иностранного языка 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22.2. Уровень владения 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23. Наличие медицинских документов (выбрать значение):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медицинская книжка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медицинская справка</w:t>
            </w:r>
          </w:p>
          <w:p>
            <w:pPr>
              <w:pStyle w:val="0"/>
              <w:ind w:left="567"/>
            </w:pPr>
            <w:r>
              <w:rPr>
                <w:sz w:val="24"/>
              </w:rPr>
              <w:t xml:space="preserve">вид справки 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24. Наличие водительского удостоверения (выбрать значения):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A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A1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B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BE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B1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C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CE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C1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C1E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D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DE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D1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DIE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M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Tm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категория Tb</w:t>
            </w:r>
          </w:p>
          <w:p>
            <w:pPr>
              <w:pStyle w:val="0"/>
            </w:pPr>
            <w:r>
              <w:rPr>
                <w:sz w:val="24"/>
              </w:rPr>
              <w:t xml:space="preserve">25. Наличие сертификатов, допусков или иных документов 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26. Готовность к переобучению (выбрать значение):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готов (готова)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готов (не готова)</w:t>
            </w:r>
          </w:p>
          <w:p>
            <w:pPr>
              <w:pStyle w:val="0"/>
            </w:pPr>
            <w:r>
              <w:rPr>
                <w:sz w:val="24"/>
              </w:rPr>
              <w:t xml:space="preserve">27. Готовность к командировкам (выбрать значение):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готов (готова)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готов (не готова)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28. Готовность к взаимодействию с центром занятости населения в дистанционной форме (в режиме видеоконференции):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готов (готова)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готов (не готова)</w:t>
            </w:r>
          </w:p>
          <w:p>
            <w:pPr>
              <w:pStyle w:val="0"/>
              <w:ind w:firstLine="283"/>
              <w:jc w:val="both"/>
            </w:pPr>
            <w:hyperlink w:history="0" w:anchor="P266" w:tooltip="1. Фамилия, имя, отчество (при наличии) ______________________________________">
              <w:r>
                <w:rPr>
                  <w:sz w:val="24"/>
                  <w:color w:val="0000ff"/>
                </w:rPr>
                <w:t xml:space="preserve">Пункты 1</w:t>
              </w:r>
            </w:hyperlink>
            <w:r>
              <w:rPr>
                <w:sz w:val="24"/>
              </w:rPr>
              <w:t xml:space="preserve"> - </w:t>
            </w:r>
            <w:hyperlink w:history="0" w:anchor="P274" w:tooltip="9. Кем выдан паспорт ______________________________________________________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 заполняются в автоматическом режиме на основании имеющихся данных в федеральной государственной информационной системе Единая цифровая платформа в сфере занятости и трудовых отношений "Работа России".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Подтверждение данных: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Я подтверждаю, что ознакомился с положениями законодательства о занятости населения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мер государственной поддержки в сфере занятости населения, в том числе на: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передачу моих персональных данных третьим лицам в целях принятия решения по настоящему обращению и предоставления мер государственной поддержки в сфере занятости населения.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19" w:name="P419"/>
    <w:bookmarkEnd w:id="4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Идентификационный номер налогоплательщика.</w:t>
      </w:r>
    </w:p>
    <w:bookmarkStart w:id="420" w:name="P420"/>
    <w:bookmarkEnd w:id="4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Страховой номер индивидуального лицевого счета.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443" w:name="P443"/>
          <w:bookmarkEnd w:id="443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образовательной организации о предоставлении сервиса "Групповые мероприятия с учащимися"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8"/>
        <w:gridCol w:w="8628"/>
      </w:tblGrid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общеобразовательной организации __________________________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субъект Российской Федерации 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район, населенный пункт, улица 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дом, корпус, строение ___________________________________________________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Общее количество обучающихся - участников мероприятия 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________________________________________________________________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Предполагаемая дата проведения мероприятия _____________________________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Предполагаемая форма и тематика проведения мероприятия __________________</w:t>
            </w:r>
          </w:p>
        </w:tc>
      </w:tr>
      <w:t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Контакты сотрудника учебного заведения для обратной связи и согласования формата мероприятия: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(полностью) 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телефона ___________________________________________________________</w:t>
            </w:r>
          </w:p>
        </w:tc>
      </w:tr>
      <w:tr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Подтверждение данных: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сервиса "Групповые мероприятия с учащимися", в том числе на: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передачу моих персональных данных третьим лицам в целях принятия решения по настоящему обращению и предоставления мер государственной поддержки в сфере занятости населения.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492" w:name="P492"/>
          <w:bookmarkEnd w:id="492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"Траектория профессиональной ориентации"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5421"/>
        <w:gridCol w:w="1357"/>
        <w:gridCol w:w="623"/>
        <w:gridCol w:w="876"/>
      </w:tblGrid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"Траектория профессиональной ориентации".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а) проведена беседа: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4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беседы</w:t>
            </w:r>
          </w:p>
        </w:tc>
        <w:tc>
          <w:tcPr>
            <w:tcW w:w="13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шкале от 1 до 10</w:t>
            </w:r>
          </w:p>
        </w:tc>
        <w:tc>
          <w:tcPr>
            <w:gridSpan w:val="2"/>
            <w:tcW w:w="1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42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Знания и осведомленность о профессиях (сферах деятельности)</w:t>
            </w:r>
          </w:p>
        </w:tc>
        <w:tc>
          <w:tcPr>
            <w:tcW w:w="13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42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Готовность осознанно делать выбор профессии</w:t>
            </w:r>
          </w:p>
        </w:tc>
        <w:tc>
          <w:tcPr>
            <w:tcW w:w="13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42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самовосприятие (знание о своих профессиональных способностях, конкурентных преимуществах, гибких навыках)</w:t>
            </w:r>
          </w:p>
        </w:tc>
        <w:tc>
          <w:tcPr>
            <w:tcW w:w="13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42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Наличие сомнений в выборе профессии (сферы деятельности)</w:t>
            </w:r>
          </w:p>
        </w:tc>
        <w:tc>
          <w:tcPr>
            <w:tcW w:w="13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823"/>
        <w:gridCol w:w="2160"/>
        <w:gridCol w:w="2176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б) оценка востребованности профессий (соответствие требованиям рынка труда):</w:t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4"/>
            <w:tcW w:w="906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4"/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в) информирование о возможностях получения выбранной профессии (специальности) (заполняется при необходимости):</w:t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4"/>
            <w:tcW w:w="906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4"/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г) назначены дополнительные сервисы: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"Тестирование":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теста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и место проведения</w:t>
            </w:r>
          </w:p>
        </w:tc>
        <w:tc>
          <w:tcPr>
            <w:tcW w:w="21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прохождения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823"/>
        <w:gridCol w:w="2160"/>
        <w:gridCol w:w="2176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"Тренинги":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и место проведения</w:t>
            </w:r>
          </w:p>
        </w:tc>
        <w:tc>
          <w:tcPr>
            <w:tcW w:w="21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проведения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823"/>
        <w:gridCol w:w="2160"/>
        <w:gridCol w:w="2176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"Профтур":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и работодателя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и место проведения</w:t>
            </w:r>
          </w:p>
        </w:tc>
        <w:tc>
          <w:tcPr>
            <w:tcW w:w="21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проведения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823"/>
        <w:gridCol w:w="2160"/>
        <w:gridCol w:w="2176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"Образовательная траектория":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</w:t>
            </w:r>
          </w:p>
        </w:tc>
        <w:tc>
          <w:tcPr>
            <w:tcW w:w="21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проведения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823"/>
        <w:gridCol w:w="2160"/>
        <w:gridCol w:w="2176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"Профессиональная консультация":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</w:t>
            </w:r>
          </w:p>
        </w:tc>
        <w:tc>
          <w:tcPr>
            <w:tcW w:w="21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проведения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"/>
        <w:gridCol w:w="8511"/>
      </w:tblGrid>
      <w:tr>
        <w:tblPrEx>
          <w:tblBorders>
            <w:left w:val="nil"/>
            <w:right w:val="nil"/>
            <w:insideH w:val="nil"/>
          </w:tblBorders>
        </w:tblPrEx>
        <w:tc>
          <w:tcPr>
            <w:gridSpan w:val="2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д) рекомендовано: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Трудоустройство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Прохождение профессионального обучения (получение дополнительного профессионального образования)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Открытие собственного дела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2"/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667" w:name="P667"/>
          <w:bookmarkEnd w:id="667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"Тестирование"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2902"/>
        <w:gridCol w:w="3569"/>
        <w:gridCol w:w="930"/>
        <w:gridCol w:w="876"/>
      </w:tblGrid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"Тестирование".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теста</w:t>
            </w:r>
          </w:p>
        </w:tc>
        <w:tc>
          <w:tcPr>
            <w:tcW w:w="35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 и форма проведения</w:t>
            </w:r>
          </w:p>
        </w:tc>
        <w:tc>
          <w:tcPr>
            <w:gridSpan w:val="2"/>
            <w:tcW w:w="18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747" w:name="P747"/>
          <w:bookmarkEnd w:id="747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"Тренинги"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2902"/>
        <w:gridCol w:w="3569"/>
        <w:gridCol w:w="930"/>
        <w:gridCol w:w="876"/>
      </w:tblGrid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"Тренинги".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 назначены и предоставлены тренинги: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тренинга</w:t>
            </w:r>
          </w:p>
        </w:tc>
        <w:tc>
          <w:tcPr>
            <w:tcW w:w="35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 и форма проведения</w:t>
            </w:r>
          </w:p>
        </w:tc>
        <w:tc>
          <w:tcPr>
            <w:gridSpan w:val="2"/>
            <w:tcW w:w="18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827" w:name="P827"/>
          <w:bookmarkEnd w:id="827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"Профтур"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3861"/>
        <w:gridCol w:w="2325"/>
        <w:gridCol w:w="1215"/>
        <w:gridCol w:w="876"/>
      </w:tblGrid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"Профтур".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работодателя, у которого проводился Профтур</w:t>
            </w:r>
          </w:p>
        </w:tc>
        <w:tc>
          <w:tcPr>
            <w:tcW w:w="23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</w:t>
            </w:r>
          </w:p>
        </w:tc>
        <w:tc>
          <w:tcPr>
            <w:gridSpan w:val="2"/>
            <w:tcW w:w="20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Рекомендовано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907" w:name="P907"/>
          <w:bookmarkEnd w:id="907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"Образовательная траектория"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3861"/>
        <w:gridCol w:w="2325"/>
        <w:gridCol w:w="1215"/>
        <w:gridCol w:w="876"/>
      </w:tblGrid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"Образовательная траектория".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3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</w:t>
            </w:r>
          </w:p>
        </w:tc>
        <w:tc>
          <w:tcPr>
            <w:gridSpan w:val="2"/>
            <w:tcW w:w="20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</w:t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Сформирован заявленный профиль компетенций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Проведена оценка компетенций (в соответствии с заявленным профилем компетенций)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Сформирован фактический профиль компетенций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Сформирован индивидуальный план по развитию компетенций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991" w:name="P991"/>
          <w:bookmarkEnd w:id="991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"Профессиональная консультация"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3861"/>
        <w:gridCol w:w="2325"/>
        <w:gridCol w:w="1215"/>
        <w:gridCol w:w="876"/>
      </w:tblGrid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5"/>
            <w:tcW w:w="906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"Профессиональная консультация".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3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 и форма проведения</w:t>
            </w:r>
          </w:p>
        </w:tc>
        <w:tc>
          <w:tcPr>
            <w:gridSpan w:val="2"/>
            <w:tcW w:w="20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Рекомендовано</w:t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Оценка осведомленности о предпочитаемой (выбранной) сфере деятельности (профессии)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информирование о предпочитаемой (выбранной) сфере деятельности (профессии)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Даны ответы на вопросы по профессиональной ориентации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6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Обобщена информация по итогам предоставления иных сервисов (в случае их назначения)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9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зарегистрированных граждан, в индивидуальный план которых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и граждан, подавших заявление на обучение: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прохождение гражданином профессионального обучения, дополнительного профессионального образования целесообразно по указанному в персональных рекомендациях перечню образовательных программ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прохождение гражданином профессионального обучения, дополнительного профессионального образования целесообразно при условии выбора им другой образовательной программы по указанному в персональных рекомендациях перечню образовательных программ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прохождение гражданином профессионального обучения, дополнительного профессионального образования нецелесообразно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Рекомендации для самостоятельной работы: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bookmarkStart w:id="1080" w:name="P1080"/>
          <w:bookmarkEnd w:id="1080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сервиса "Групповые мероприятия с учащимися"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9"/>
        <w:gridCol w:w="3668"/>
        <w:gridCol w:w="1699"/>
        <w:gridCol w:w="2034"/>
        <w:gridCol w:w="876"/>
      </w:tblGrid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74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(класс(ы) и наименование образовательной организации)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 сервис "Групповые мероприятия с учащимися".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6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направленность мероприятия</w:t>
            </w:r>
          </w:p>
        </w:tc>
        <w:tc>
          <w:tcPr>
            <w:tcW w:w="16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</w:t>
            </w:r>
          </w:p>
        </w:tc>
        <w:tc>
          <w:tcPr>
            <w:gridSpan w:val="2"/>
            <w:tcW w:w="29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6"/>
      </w:tblGrid>
      <w:tr>
        <w:tblPrEx>
          <w:tblBorders>
            <w:left w:val="nil"/>
            <w:right w:val="nil"/>
          </w:tblBorders>
        </w:tblPrEx>
        <w:tc>
          <w:tcPr>
            <w:tcW w:w="906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Справочная информация (может указываться количество участников, содержание проведенного мероприятия и так далее):</w:t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66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411"/>
        <w:gridCol w:w="340"/>
        <w:gridCol w:w="2645"/>
      </w:tblGrid>
      <w:tr>
        <w:tblPrEx>
          <w:tblBorders>
            <w:insideH w:val="single" w:sz="4"/>
          </w:tblBorders>
        </w:tblPrEx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профессиональной ориентации граждан</w:t>
      </w:r>
    </w:p>
    <w:p>
      <w:pPr>
        <w:pStyle w:val="0"/>
        <w:jc w:val="right"/>
      </w:pPr>
      <w:r>
        <w:rPr>
          <w:sz w:val="24"/>
        </w:rPr>
        <w:t xml:space="preserve">в целях выбора сферы профессиональной</w:t>
      </w:r>
    </w:p>
    <w:p>
      <w:pPr>
        <w:pStyle w:val="0"/>
        <w:jc w:val="right"/>
      </w:pPr>
      <w:r>
        <w:rPr>
          <w:sz w:val="24"/>
        </w:rPr>
        <w:t xml:space="preserve">деятельности (профессии),</w:t>
      </w:r>
    </w:p>
    <w:p>
      <w:pPr>
        <w:pStyle w:val="0"/>
        <w:jc w:val="right"/>
      </w:pPr>
      <w:r>
        <w:rPr>
          <w:sz w:val="24"/>
        </w:rPr>
        <w:t xml:space="preserve">трудоустройства, прохождения</w:t>
      </w:r>
    </w:p>
    <w:p>
      <w:pPr>
        <w:pStyle w:val="0"/>
        <w:jc w:val="right"/>
      </w:pPr>
      <w:r>
        <w:rPr>
          <w:sz w:val="24"/>
        </w:rPr>
        <w:t xml:space="preserve">профессионального обучения, получения</w:t>
      </w:r>
    </w:p>
    <w:p>
      <w:pPr>
        <w:pStyle w:val="0"/>
        <w:jc w:val="right"/>
      </w:pPr>
      <w:r>
        <w:rPr>
          <w:sz w:val="24"/>
        </w:rPr>
        <w:t xml:space="preserve">дополнительного профессионального</w:t>
      </w:r>
    </w:p>
    <w:p>
      <w:pPr>
        <w:pStyle w:val="0"/>
        <w:jc w:val="right"/>
      </w:pPr>
      <w:r>
        <w:rPr>
          <w:sz w:val="24"/>
        </w:rPr>
        <w:t xml:space="preserve">образования,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декабря 2024 г. N 694н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both"/>
      </w:pPr>
      <w:r>
        <w:rPr>
          <w:sz w:val="24"/>
        </w:rPr>
      </w:r>
    </w:p>
    <w:bookmarkStart w:id="1152" w:name="P1152"/>
    <w:bookmarkEnd w:id="1152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профессиональной ориентации граждан в целях выбора сферы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 (профессии), трудоустройства,</w:t>
      </w:r>
    </w:p>
    <w:p>
      <w:pPr>
        <w:pStyle w:val="2"/>
        <w:jc w:val="center"/>
      </w:pPr>
      <w:r>
        <w:rPr>
          <w:sz w:val="24"/>
        </w:rPr>
        <w:t xml:space="preserve">прохождения профессионального обучения, получения</w:t>
      </w:r>
    </w:p>
    <w:p>
      <w:pPr>
        <w:pStyle w:val="2"/>
        <w:jc w:val="center"/>
      </w:pPr>
      <w:r>
        <w:rPr>
          <w:sz w:val="24"/>
        </w:rPr>
        <w:t xml:space="preserve">дополнительного профессионального образования, сведения,</w:t>
      </w:r>
    </w:p>
    <w:p>
      <w:pPr>
        <w:pStyle w:val="2"/>
        <w:jc w:val="center"/>
      </w:pPr>
      <w:r>
        <w:rPr>
          <w:sz w:val="24"/>
        </w:rPr>
        <w:t xml:space="preserve">необходимые для оценки (расчета) показателей, методика</w:t>
      </w:r>
    </w:p>
    <w:p>
      <w:pPr>
        <w:pStyle w:val="2"/>
        <w:jc w:val="center"/>
      </w:pPr>
      <w:r>
        <w:rPr>
          <w:sz w:val="24"/>
        </w:rPr>
        <w:t xml:space="preserve">оценки (расчета) показателей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2150"/>
        <w:gridCol w:w="1387"/>
        <w:gridCol w:w="2222"/>
        <w:gridCol w:w="2712"/>
      </w:tblGrid>
      <w:tr>
        <w:tblPrEx>
          <w:tblBorders>
            <w:insideH w:val="single" w:sz="4"/>
          </w:tblBorders>
        </w:tblPrEx>
        <w:tc>
          <w:tcPr>
            <w:tcW w:w="58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2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27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86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0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трудоустроенных в течение 2 недель после получения меры поддержки, включенной в индивидуальный план, от общего количества граждан, получивших меру государственной поддержки, включенную в индивидуальный план</w:t>
            </w:r>
          </w:p>
        </w:tc>
        <w:tc>
          <w:tcPr>
            <w:tcW w:w="138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22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Даты завершения предоставления сервисов, включенных в меру поддержки.</w:t>
            </w:r>
          </w:p>
        </w:tc>
        <w:tc>
          <w:tcPr>
            <w:tcW w:w="2712" w:type="dxa"/>
            <w:tcBorders>
              <w:top w:val="single" w:sz="4"/>
              <w:bottom w:val="nil"/>
            </w:tcBorders>
            <w:vMerge w:val="restart"/>
          </w:tcPr>
          <w:bookmarkStart w:id="1171" w:name="P1171"/>
          <w:bookmarkEnd w:id="1171"/>
          <w:p>
            <w:pPr>
              <w:pStyle w:val="0"/>
            </w:pPr>
            <w:r>
              <w:rPr>
                <w:sz w:val="24"/>
              </w:rPr>
              <w:t xml:space="preserve">1. Исходя из последней даты завершения предоставления назначенных сервисов вычисляется общая численность граждан, получивших в отчетном периоде меру поддержки, включенную в индивидуальный план, без учета граждан, которым мера поддержки по профессиональной ориентации предоставляется с целью прохождения профессионального обучения, дополнительного профессионального образования.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222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Дата трудоустройства.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222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По результатам предоставления меры поддержки рекомендовано трудоустройство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W w:w="586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0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2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bookmarkStart w:id="1178" w:name="P1178"/>
          <w:bookmarkEnd w:id="1178"/>
          <w:p>
            <w:pPr>
              <w:pStyle w:val="0"/>
            </w:pPr>
            <w:r>
              <w:rPr>
                <w:sz w:val="24"/>
              </w:rPr>
              <w:t xml:space="preserve">2. Из числа граждан из </w:t>
            </w:r>
            <w:hyperlink w:history="0" w:anchor="P1171" w:tooltip="1. Исходя из последней даты завершения предоставления назначенных сервисов вычисляется общая численность граждан, получивших в отчетном периоде меру поддержки, включенную в индивидуальный план, без учета граждан, которым мера поддержки по профессиональной ориентации предоставляется с целью прохождения профессионального обучения, дополнительного профессионального образования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определяется число граждан, которым по итогам предоставления сервиса "Траектория профессиональной ориентации" в заключении рекомендовано трудоустройство.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2712" w:type="dxa"/>
            <w:tcBorders>
              <w:top w:val="nil"/>
              <w:bottom w:val="nil"/>
            </w:tcBorders>
          </w:tcPr>
          <w:bookmarkStart w:id="1179" w:name="P1179"/>
          <w:bookmarkEnd w:id="1179"/>
          <w:p>
            <w:pPr>
              <w:pStyle w:val="0"/>
            </w:pPr>
            <w:r>
              <w:rPr>
                <w:sz w:val="24"/>
              </w:rPr>
              <w:t xml:space="preserve">3. Из числа граждан из </w:t>
            </w:r>
            <w:hyperlink w:history="0" w:anchor="P1178" w:tooltip="2. Из числа граждан из пункта 1 определяется число граждан, которым по итогам предоставления сервиса &quot;Траектория профессиональной ориентации&quot; в заключении рекомендовано трудоустройство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определяется число граждан, у которых дата 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271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Вычисляется соотношение численности граждан из </w:t>
            </w:r>
            <w:hyperlink w:history="0" w:anchor="P1179" w:tooltip="3. Из числа граждан из пункта 2 определяется число граждан, у которых дата 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">
              <w:r>
                <w:rPr>
                  <w:sz w:val="24"/>
                  <w:color w:val="0000ff"/>
                </w:rPr>
                <w:t xml:space="preserve">пункта 3</w:t>
              </w:r>
            </w:hyperlink>
            <w:r>
              <w:rPr>
                <w:sz w:val="24"/>
              </w:rPr>
              <w:t xml:space="preserve"> к численности граждан из </w:t>
            </w:r>
            <w:hyperlink w:history="0" w:anchor="P1171" w:tooltip="1. Исходя из последней даты завершения предоставления назначенных сервисов вычисляется общая численность граждан, получивших в отчетном периоде меру поддержки, включенную в индивидуальный план, без учета граждан, которым мера поддержки по профессиональной ориентации предоставляется с целью прохождения профессионального обучения, дополнительного профессионального образования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  <w:tr>
        <w:tc>
          <w:tcPr>
            <w:gridSpan w:val="5"/>
            <w:tcW w:w="9057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2 </w:t>
                  </w:r>
                  <w:hyperlink w:history="0"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86" w:type="dxa"/>
            <w:tcBorders>
              <w:top w:val="nil"/>
              <w:bottom w:val="single" w:sz="4"/>
            </w:tcBorders>
            <w:vMerge w:val="restart"/>
          </w:tcPr>
          <w:bookmarkStart w:id="1183" w:name="P1183"/>
          <w:bookmarkEnd w:id="1183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0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установленные сроки)</w:t>
            </w:r>
          </w:p>
        </w:tc>
        <w:tc>
          <w:tcPr>
            <w:tcW w:w="1387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2712" w:type="dxa"/>
            <w:tcBorders>
              <w:top w:val="nil"/>
              <w:bottom w:val="nil"/>
            </w:tcBorders>
            <w:vMerge w:val="restart"/>
          </w:tcPr>
          <w:bookmarkStart w:id="1187" w:name="P1187"/>
          <w:bookmarkEnd w:id="1187"/>
          <w:p>
            <w:pPr>
              <w:pStyle w:val="0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222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712" w:type="dxa"/>
            <w:tcBorders>
              <w:top w:val="nil"/>
              <w:bottom w:val="nil"/>
            </w:tcBorders>
            <w:vMerge w:val="restart"/>
          </w:tcPr>
          <w:bookmarkStart w:id="1189" w:name="P1189"/>
          <w:bookmarkEnd w:id="1189"/>
          <w:p>
            <w:pPr>
              <w:pStyle w:val="0"/>
            </w:pPr>
            <w:r>
              <w:rPr>
                <w:sz w:val="24"/>
              </w:rPr>
              <w:t xml:space="preserve">2. Из </w:t>
            </w:r>
            <w:hyperlink w:history="0" w:anchor="P1187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222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271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1189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1187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12.12.2024 N 694н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13363&amp;date=21.02.2025" TargetMode = "External"/>
	<Relationship Id="rId10" Type="http://schemas.openxmlformats.org/officeDocument/2006/relationships/hyperlink" Target="https://login.consultant.ru/link/?req=doc&amp;base=LAW&amp;n=482646&amp;date=21.02.2025&amp;dst=100165&amp;field=134" TargetMode = "External"/>
	<Relationship Id="rId11" Type="http://schemas.openxmlformats.org/officeDocument/2006/relationships/hyperlink" Target="https://login.consultant.ru/link/?req=doc&amp;base=LAW&amp;n=482646&amp;date=21.02.2025&amp;dst=100268&amp;field=134" TargetMode = "External"/>
	<Relationship Id="rId12" Type="http://schemas.openxmlformats.org/officeDocument/2006/relationships/hyperlink" Target="https://login.consultant.ru/link/?req=doc&amp;base=LAW&amp;n=492308&amp;date=21.02.2025" TargetMode = "External"/>
	<Relationship Id="rId13" Type="http://schemas.openxmlformats.org/officeDocument/2006/relationships/hyperlink" Target="https://login.consultant.ru/link/?req=doc&amp;base=LAW&amp;n=473074&amp;date=21.02.2025&amp;dst=100013&amp;field=134" TargetMode = "External"/>
	<Relationship Id="rId14" Type="http://schemas.openxmlformats.org/officeDocument/2006/relationships/hyperlink" Target="https://login.consultant.ru/link/?req=doc&amp;base=LAW&amp;n=482646&amp;date=21.02.2025&amp;dst=100210&amp;field=134" TargetMode = "External"/>
	<Relationship Id="rId15" Type="http://schemas.openxmlformats.org/officeDocument/2006/relationships/hyperlink" Target="https://login.consultant.ru/link/?req=doc&amp;base=LAW&amp;n=484830&amp;date=21.02.2025" TargetMode = "External"/>
	<Relationship Id="rId16" Type="http://schemas.openxmlformats.org/officeDocument/2006/relationships/hyperlink" Target="https://login.consultant.ru/link/?req=doc&amp;base=LAW&amp;n=491831&amp;date=21.02.2025" TargetMode = "External"/>
	<Relationship Id="rId17" Type="http://schemas.openxmlformats.org/officeDocument/2006/relationships/image" Target="media/image2.wmf"/>
	<Relationship Id="rId18" Type="http://schemas.openxmlformats.org/officeDocument/2006/relationships/hyperlink" Target="https://login.consultant.ru/link/?req=doc&amp;base=LAW&amp;n=494439&amp;date=21.02.2025&amp;dst=10034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12.12.2024 N 694н
"Об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образования"
(Зарегистрировано в Минюсте России 17.02.2025 N 81270)</dc:title>
  <dcterms:created xsi:type="dcterms:W3CDTF">2025-02-21T08:12:33Z</dcterms:created>
</cp:coreProperties>
</file>